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80" w:rsidRDefault="00F02E80" w:rsidP="00F02E80">
      <w:pPr>
        <w:spacing w:after="240"/>
        <w:outlineLvl w:val="0"/>
        <w:rPr>
          <w:rFonts w:ascii="Helvetica Neue" w:eastAsia="Times New Roman" w:hAnsi="Helvetica Neue" w:cs="Times New Roman"/>
          <w:b/>
          <w:bCs/>
          <w:color w:val="AF9980"/>
          <w:kern w:val="36"/>
          <w:sz w:val="41"/>
          <w:szCs w:val="41"/>
        </w:rPr>
      </w:pPr>
      <w:r>
        <w:rPr>
          <w:rFonts w:ascii="Helvetica Neue" w:eastAsia="Times New Roman" w:hAnsi="Helvetica Neue" w:cs="Times New Roman"/>
          <w:b/>
          <w:bCs/>
          <w:color w:val="AF9980"/>
          <w:kern w:val="36"/>
          <w:sz w:val="41"/>
          <w:szCs w:val="41"/>
        </w:rPr>
        <w:t xml:space="preserve">Environmental Justice Legislation: Oregon </w:t>
      </w:r>
    </w:p>
    <w:p w:rsidR="00F02E80" w:rsidRPr="00F02E80" w:rsidRDefault="00F02E80" w:rsidP="00F02E80">
      <w:pPr>
        <w:spacing w:after="240"/>
        <w:outlineLvl w:val="0"/>
        <w:rPr>
          <w:rFonts w:ascii="Helvetica Neue" w:eastAsia="Times New Roman" w:hAnsi="Helvetica Neue" w:cs="Times New Roman"/>
          <w:b/>
          <w:bCs/>
          <w:color w:val="58361C"/>
          <w:kern w:val="36"/>
          <w:sz w:val="41"/>
          <w:szCs w:val="41"/>
        </w:rPr>
      </w:pPr>
      <w:r w:rsidRPr="00F02E80">
        <w:rPr>
          <w:rFonts w:ascii="Helvetica Neue" w:eastAsia="Times New Roman" w:hAnsi="Helvetica Neue" w:cs="Times New Roman"/>
          <w:b/>
          <w:bCs/>
          <w:color w:val="AF9980"/>
          <w:kern w:val="36"/>
          <w:sz w:val="41"/>
          <w:szCs w:val="41"/>
        </w:rPr>
        <w:t>2015 ORS</w:t>
      </w:r>
      <w:r w:rsidRPr="00F02E80">
        <w:rPr>
          <w:rFonts w:ascii="Helvetica Neue" w:eastAsia="Times New Roman" w:hAnsi="Helvetica Neue" w:cs="Times New Roman"/>
          <w:b/>
          <w:bCs/>
          <w:color w:val="58361C"/>
          <w:kern w:val="36"/>
          <w:sz w:val="41"/>
          <w:szCs w:val="41"/>
        </w:rPr>
        <w:t> 182.535</w:t>
      </w:r>
      <w:r w:rsidRPr="00F02E80">
        <w:rPr>
          <w:rFonts w:ascii="Helvetica Neue" w:eastAsia="Times New Roman" w:hAnsi="Helvetica Neue" w:cs="Times New Roman"/>
          <w:b/>
          <w:bCs/>
          <w:color w:val="AF9980"/>
          <w:kern w:val="36"/>
          <w:sz w:val="41"/>
          <w:szCs w:val="41"/>
        </w:rPr>
        <w:t>¹</w:t>
      </w:r>
      <w:r w:rsidRPr="00F02E80">
        <w:rPr>
          <w:rFonts w:ascii="Helvetica Neue" w:eastAsia="Times New Roman" w:hAnsi="Helvetica Neue" w:cs="Times New Roman"/>
          <w:b/>
          <w:bCs/>
          <w:color w:val="58361C"/>
          <w:kern w:val="36"/>
          <w:sz w:val="41"/>
          <w:szCs w:val="41"/>
        </w:rPr>
        <w:t> </w:t>
      </w:r>
    </w:p>
    <w:p w:rsidR="00F02E80" w:rsidRPr="00F02E80" w:rsidRDefault="00F02E80" w:rsidP="00F02E80">
      <w:pPr>
        <w:spacing w:after="240"/>
        <w:outlineLvl w:val="0"/>
        <w:rPr>
          <w:rFonts w:ascii="Helvetica Neue" w:eastAsia="Times New Roman" w:hAnsi="Helvetica Neue" w:cs="Times New Roman"/>
          <w:b/>
          <w:bCs/>
          <w:color w:val="58361C"/>
          <w:kern w:val="36"/>
          <w:sz w:val="41"/>
          <w:szCs w:val="41"/>
        </w:rPr>
      </w:pPr>
      <w:r w:rsidRPr="00F02E80">
        <w:rPr>
          <w:rFonts w:ascii="Helvetica Neue" w:eastAsia="Times New Roman" w:hAnsi="Helvetica Neue" w:cs="Times New Roman"/>
          <w:b/>
          <w:bCs/>
          <w:color w:val="58361C"/>
          <w:kern w:val="36"/>
          <w:sz w:val="41"/>
          <w:szCs w:val="41"/>
        </w:rPr>
        <w:t>"Natural resource agency" defined for ORS 182.535 to 182.550</w:t>
      </w:r>
    </w:p>
    <w:p w:rsidR="00F02E80" w:rsidRPr="00F02E80" w:rsidRDefault="00F02E80" w:rsidP="00F02E80">
      <w:pPr>
        <w:spacing w:after="225" w:line="432" w:lineRule="atLeast"/>
        <w:rPr>
          <w:rFonts w:ascii="Helvetica Neue" w:hAnsi="Helvetica Neue" w:cs="Times New Roman"/>
          <w:color w:val="352D27"/>
        </w:rPr>
      </w:pPr>
      <w:r w:rsidRPr="00F02E80">
        <w:rPr>
          <w:rFonts w:ascii="Helvetica Neue" w:hAnsi="Helvetica Neue" w:cs="Times New Roman"/>
          <w:color w:val="352D27"/>
        </w:rPr>
        <w:t>For purposes of ORS </w:t>
      </w:r>
      <w:hyperlink r:id="rId7" w:history="1">
        <w:r w:rsidRPr="00F02E80">
          <w:rPr>
            <w:rFonts w:ascii="Helvetica Neue" w:hAnsi="Helvetica Neue" w:cs="Times New Roman"/>
            <w:b/>
            <w:bCs/>
            <w:color w:val="004276"/>
          </w:rPr>
          <w:t>182.535 ("Natural resource agency" defined for ORS 182.535 to 182.550)</w:t>
        </w:r>
      </w:hyperlink>
      <w:r w:rsidRPr="00F02E80">
        <w:rPr>
          <w:rFonts w:ascii="Helvetica Neue" w:hAnsi="Helvetica Neue" w:cs="Times New Roman"/>
          <w:color w:val="352D27"/>
        </w:rPr>
        <w:t> to </w:t>
      </w:r>
      <w:hyperlink r:id="rId8" w:history="1">
        <w:r w:rsidRPr="00F02E80">
          <w:rPr>
            <w:rFonts w:ascii="Helvetica Neue" w:hAnsi="Helvetica Neue" w:cs="Times New Roman"/>
            <w:b/>
            <w:bCs/>
            <w:color w:val="004276"/>
          </w:rPr>
          <w:t>182.550 (Reports by natural resource agencies)</w:t>
        </w:r>
      </w:hyperlink>
      <w:r w:rsidRPr="00F02E80">
        <w:rPr>
          <w:rFonts w:ascii="Helvetica Neue" w:hAnsi="Helvetica Neue" w:cs="Times New Roman"/>
          <w:color w:val="352D27"/>
        </w:rPr>
        <w:t>, "natural resource agency" means the Department of Environmental Quality, the State Department of Agriculture, the Water Resources Department, the State Department of Fish and Wildlife, the State Forestry Department, the Department of State Lands, the Department of Education, the State Department of Geology and Mineral Industries, the Department of Land Conservation and Development, the State Marine Board, the Public Utility Commission, the Department of Transportation, the State Fire Marshal and the Oregon Health Authority. [2007 c.909 §1; 2009 c.595 §163]</w:t>
      </w:r>
    </w:p>
    <w:p w:rsidR="00F02E80" w:rsidRPr="002E5B4C" w:rsidRDefault="00F02E80" w:rsidP="002E5B4C">
      <w:pPr>
        <w:spacing w:after="225" w:line="432" w:lineRule="atLeast"/>
        <w:rPr>
          <w:rFonts w:ascii="Helvetica Neue" w:hAnsi="Helvetica Neue" w:cs="Times New Roman"/>
          <w:color w:val="352D27"/>
        </w:rPr>
      </w:pPr>
      <w:r w:rsidRPr="00F02E80">
        <w:rPr>
          <w:rFonts w:ascii="Helvetica Neue" w:hAnsi="Helvetica Neue" w:cs="Times New Roman"/>
          <w:color w:val="352D27"/>
        </w:rPr>
        <w:t>Note: </w:t>
      </w:r>
      <w:hyperlink r:id="rId9" w:history="1">
        <w:r w:rsidRPr="00F02E80">
          <w:rPr>
            <w:rFonts w:ascii="Helvetica Neue" w:hAnsi="Helvetica Neue" w:cs="Times New Roman"/>
            <w:b/>
            <w:bCs/>
            <w:color w:val="004276"/>
          </w:rPr>
          <w:t>182.535 ("Natural resource agency" defined for ORS 182.535 to 182.550)</w:t>
        </w:r>
      </w:hyperlink>
      <w:r w:rsidRPr="00F02E80">
        <w:rPr>
          <w:rFonts w:ascii="Helvetica Neue" w:hAnsi="Helvetica Neue" w:cs="Times New Roman"/>
          <w:color w:val="352D27"/>
        </w:rPr>
        <w:t> to </w:t>
      </w:r>
      <w:hyperlink r:id="rId10" w:history="1">
        <w:r w:rsidRPr="00F02E80">
          <w:rPr>
            <w:rFonts w:ascii="Helvetica Neue" w:hAnsi="Helvetica Neue" w:cs="Times New Roman"/>
            <w:b/>
            <w:bCs/>
            <w:color w:val="004276"/>
          </w:rPr>
          <w:t>182.550 (Reports by natural resource agencies)</w:t>
        </w:r>
      </w:hyperlink>
      <w:r w:rsidRPr="00F02E80">
        <w:rPr>
          <w:rFonts w:ascii="Helvetica Neue" w:hAnsi="Helvetica Neue" w:cs="Times New Roman"/>
          <w:color w:val="352D27"/>
        </w:rPr>
        <w:t> were enacted into law by the Legislative Assembly but were not added to or made a part of ORS chapter 182 or any series therein by legislative action</w:t>
      </w:r>
      <w:proofErr w:type="gramStart"/>
      <w:r w:rsidRPr="00F02E80">
        <w:rPr>
          <w:rFonts w:ascii="Helvetica Neue" w:hAnsi="Helvetica Neue" w:cs="Times New Roman"/>
          <w:color w:val="352D27"/>
        </w:rPr>
        <w:t xml:space="preserve">. </w:t>
      </w:r>
      <w:proofErr w:type="gramEnd"/>
      <w:r w:rsidRPr="00F02E80">
        <w:rPr>
          <w:rFonts w:ascii="Helvetica Neue" w:hAnsi="Helvetica Neue" w:cs="Times New Roman"/>
          <w:color w:val="352D27"/>
        </w:rPr>
        <w:t>See Preface to Oregon Revised Statutes for further explanation.</w:t>
      </w:r>
    </w:p>
    <w:p w:rsidR="00F02E80" w:rsidRPr="00F02E80" w:rsidRDefault="00F02E80" w:rsidP="00F02E80">
      <w:pPr>
        <w:spacing w:after="240"/>
        <w:outlineLvl w:val="0"/>
        <w:rPr>
          <w:rFonts w:ascii="Helvetica Neue" w:eastAsia="Times New Roman" w:hAnsi="Helvetica Neue" w:cs="Times New Roman"/>
          <w:b/>
          <w:bCs/>
          <w:color w:val="58361C"/>
          <w:kern w:val="36"/>
          <w:sz w:val="41"/>
          <w:szCs w:val="41"/>
        </w:rPr>
      </w:pPr>
      <w:r w:rsidRPr="00F02E80">
        <w:rPr>
          <w:rFonts w:ascii="Helvetica Neue" w:eastAsia="Times New Roman" w:hAnsi="Helvetica Neue" w:cs="Times New Roman"/>
          <w:b/>
          <w:bCs/>
          <w:color w:val="AF9980"/>
          <w:kern w:val="36"/>
          <w:sz w:val="41"/>
          <w:szCs w:val="41"/>
        </w:rPr>
        <w:t>2015 ORS</w:t>
      </w:r>
      <w:r w:rsidRPr="00F02E80">
        <w:rPr>
          <w:rFonts w:ascii="Helvetica Neue" w:eastAsia="Times New Roman" w:hAnsi="Helvetica Neue" w:cs="Times New Roman"/>
          <w:b/>
          <w:bCs/>
          <w:color w:val="58361C"/>
          <w:kern w:val="36"/>
          <w:sz w:val="41"/>
          <w:szCs w:val="41"/>
        </w:rPr>
        <w:t> 182.538</w:t>
      </w:r>
      <w:r w:rsidRPr="00F02E80">
        <w:rPr>
          <w:rFonts w:ascii="Helvetica Neue" w:eastAsia="Times New Roman" w:hAnsi="Helvetica Neue" w:cs="Times New Roman"/>
          <w:b/>
          <w:bCs/>
          <w:color w:val="AF9980"/>
          <w:kern w:val="36"/>
          <w:sz w:val="41"/>
          <w:szCs w:val="41"/>
        </w:rPr>
        <w:t>¹</w:t>
      </w:r>
      <w:r w:rsidRPr="00F02E80">
        <w:rPr>
          <w:rFonts w:ascii="Helvetica Neue" w:eastAsia="Times New Roman" w:hAnsi="Helvetica Neue" w:cs="Times New Roman"/>
          <w:b/>
          <w:bCs/>
          <w:color w:val="58361C"/>
          <w:kern w:val="36"/>
          <w:sz w:val="41"/>
          <w:szCs w:val="41"/>
        </w:rPr>
        <w:t> </w:t>
      </w:r>
    </w:p>
    <w:p w:rsidR="00F02E80" w:rsidRPr="00F02E80" w:rsidRDefault="00F02E80" w:rsidP="00F02E80">
      <w:pPr>
        <w:spacing w:after="240"/>
        <w:outlineLvl w:val="0"/>
        <w:rPr>
          <w:rFonts w:ascii="Helvetica Neue" w:eastAsia="Times New Roman" w:hAnsi="Helvetica Neue" w:cs="Times New Roman"/>
          <w:b/>
          <w:bCs/>
          <w:color w:val="58361C"/>
          <w:kern w:val="36"/>
          <w:sz w:val="41"/>
          <w:szCs w:val="41"/>
        </w:rPr>
      </w:pPr>
      <w:r w:rsidRPr="00F02E80">
        <w:rPr>
          <w:rFonts w:ascii="Helvetica Neue" w:eastAsia="Times New Roman" w:hAnsi="Helvetica Neue" w:cs="Times New Roman"/>
          <w:b/>
          <w:bCs/>
          <w:color w:val="58361C"/>
          <w:kern w:val="36"/>
          <w:sz w:val="41"/>
          <w:szCs w:val="41"/>
        </w:rPr>
        <w:t>Environmental Justice Task Force</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 xml:space="preserve"> (1</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There is established the Environmental Justice Task Force consisting of 12 members appointed by the Governor</w:t>
      </w:r>
      <w:proofErr w:type="gramStart"/>
      <w:r w:rsidRPr="00F02E80">
        <w:rPr>
          <w:rFonts w:ascii="Helvetica Neue" w:hAnsi="Helvetica Neue" w:cs="Times New Roman"/>
          <w:color w:val="352D27"/>
        </w:rPr>
        <w:t xml:space="preserve">. </w:t>
      </w:r>
      <w:proofErr w:type="gramEnd"/>
      <w:r w:rsidRPr="00F02E80">
        <w:rPr>
          <w:rFonts w:ascii="Helvetica Neue" w:hAnsi="Helvetica Neue" w:cs="Times New Roman"/>
          <w:color w:val="352D27"/>
        </w:rPr>
        <w:t xml:space="preserve">The members shall be persons who are </w:t>
      </w:r>
      <w:r w:rsidRPr="00F02E80">
        <w:rPr>
          <w:rFonts w:ascii="Helvetica Neue" w:hAnsi="Helvetica Neue" w:cs="Times New Roman"/>
          <w:color w:val="352D27"/>
        </w:rPr>
        <w:lastRenderedPageBreak/>
        <w:t>well-informed on the principles of environmental justice and who, to the greatest extent practicable, represent minority communities, low-income communities, environmental interests, industry groups and geographically diverse areas of the state</w:t>
      </w:r>
      <w:proofErr w:type="gramStart"/>
      <w:r w:rsidRPr="00F02E80">
        <w:rPr>
          <w:rFonts w:ascii="Helvetica Neue" w:hAnsi="Helvetica Neue" w:cs="Times New Roman"/>
          <w:color w:val="352D27"/>
        </w:rPr>
        <w:t xml:space="preserve">. </w:t>
      </w:r>
      <w:proofErr w:type="gramEnd"/>
      <w:r w:rsidRPr="00F02E80">
        <w:rPr>
          <w:rFonts w:ascii="Helvetica Neue" w:hAnsi="Helvetica Neue" w:cs="Times New Roman"/>
          <w:color w:val="352D27"/>
        </w:rPr>
        <w:t>Of the 12 members, the Governor shall appoint one member of the task force from each of the following commissions:</w:t>
      </w:r>
    </w:p>
    <w:p w:rsidR="00F02E80" w:rsidRPr="00F02E80" w:rsidRDefault="00F02E80" w:rsidP="00F02E80">
      <w:pPr>
        <w:spacing w:before="192" w:line="432" w:lineRule="atLeast"/>
        <w:ind w:left="960"/>
        <w:rPr>
          <w:rFonts w:ascii="Helvetica Neue" w:hAnsi="Helvetica Neue" w:cs="Times New Roman"/>
          <w:color w:val="352D27"/>
        </w:rPr>
      </w:pPr>
      <w:r w:rsidRPr="00F02E80">
        <w:rPr>
          <w:rFonts w:ascii="Helvetica Neue" w:hAnsi="Helvetica Neue" w:cs="Times New Roman"/>
          <w:b/>
          <w:bCs/>
          <w:color w:val="241C16"/>
          <w:sz w:val="25"/>
          <w:szCs w:val="25"/>
        </w:rPr>
        <w:t>(a</w:t>
      </w:r>
      <w:proofErr w:type="gramStart"/>
      <w:r w:rsidRPr="00F02E80">
        <w:rPr>
          <w:rFonts w:ascii="Helvetica Neue" w:hAnsi="Helvetica Neue" w:cs="Times New Roman"/>
          <w:b/>
          <w:bCs/>
          <w:color w:val="241C16"/>
          <w:sz w:val="25"/>
          <w:szCs w:val="25"/>
        </w:rPr>
        <w:t>)</w:t>
      </w:r>
      <w:proofErr w:type="gramEnd"/>
      <w:r w:rsidRPr="00F02E80">
        <w:rPr>
          <w:rFonts w:ascii="Helvetica Neue" w:hAnsi="Helvetica Neue" w:cs="Times New Roman"/>
          <w:color w:val="352D27"/>
        </w:rPr>
        <w:t>The Commission on Asian and Pacific Islander Affairs;</w:t>
      </w:r>
    </w:p>
    <w:p w:rsidR="00F02E80" w:rsidRPr="00F02E80" w:rsidRDefault="00F02E80" w:rsidP="00F02E80">
      <w:pPr>
        <w:spacing w:before="192" w:line="432" w:lineRule="atLeast"/>
        <w:ind w:left="960"/>
        <w:rPr>
          <w:rFonts w:ascii="Helvetica Neue" w:hAnsi="Helvetica Neue" w:cs="Times New Roman"/>
          <w:color w:val="352D27"/>
        </w:rPr>
      </w:pPr>
      <w:r w:rsidRPr="00F02E80">
        <w:rPr>
          <w:rFonts w:ascii="Helvetica Neue" w:hAnsi="Helvetica Neue" w:cs="Times New Roman"/>
          <w:b/>
          <w:bCs/>
          <w:color w:val="241C16"/>
          <w:sz w:val="25"/>
          <w:szCs w:val="25"/>
        </w:rPr>
        <w:t>(b</w:t>
      </w:r>
      <w:proofErr w:type="gramStart"/>
      <w:r w:rsidRPr="00F02E80">
        <w:rPr>
          <w:rFonts w:ascii="Helvetica Neue" w:hAnsi="Helvetica Neue" w:cs="Times New Roman"/>
          <w:b/>
          <w:bCs/>
          <w:color w:val="241C16"/>
          <w:sz w:val="25"/>
          <w:szCs w:val="25"/>
        </w:rPr>
        <w:t>)</w:t>
      </w:r>
      <w:proofErr w:type="gramEnd"/>
      <w:r w:rsidRPr="00F02E80">
        <w:rPr>
          <w:rFonts w:ascii="Helvetica Neue" w:hAnsi="Helvetica Neue" w:cs="Times New Roman"/>
          <w:color w:val="352D27"/>
        </w:rPr>
        <w:t>The Commission on Black Affairs;</w:t>
      </w:r>
    </w:p>
    <w:p w:rsidR="00F02E80" w:rsidRPr="00F02E80" w:rsidRDefault="00F02E80" w:rsidP="00F02E80">
      <w:pPr>
        <w:spacing w:before="192" w:line="432" w:lineRule="atLeast"/>
        <w:ind w:left="960"/>
        <w:rPr>
          <w:rFonts w:ascii="Helvetica Neue" w:hAnsi="Helvetica Neue" w:cs="Times New Roman"/>
          <w:color w:val="352D27"/>
        </w:rPr>
      </w:pPr>
      <w:r w:rsidRPr="00F02E80">
        <w:rPr>
          <w:rFonts w:ascii="Helvetica Neue" w:hAnsi="Helvetica Neue" w:cs="Times New Roman"/>
          <w:b/>
          <w:bCs/>
          <w:color w:val="241C16"/>
          <w:sz w:val="25"/>
          <w:szCs w:val="25"/>
        </w:rPr>
        <w:t>(c</w:t>
      </w:r>
      <w:proofErr w:type="gramStart"/>
      <w:r w:rsidRPr="00F02E80">
        <w:rPr>
          <w:rFonts w:ascii="Helvetica Neue" w:hAnsi="Helvetica Neue" w:cs="Times New Roman"/>
          <w:b/>
          <w:bCs/>
          <w:color w:val="241C16"/>
          <w:sz w:val="25"/>
          <w:szCs w:val="25"/>
        </w:rPr>
        <w:t>)</w:t>
      </w:r>
      <w:proofErr w:type="gramEnd"/>
      <w:r w:rsidRPr="00F02E80">
        <w:rPr>
          <w:rFonts w:ascii="Helvetica Neue" w:hAnsi="Helvetica Neue" w:cs="Times New Roman"/>
          <w:color w:val="352D27"/>
        </w:rPr>
        <w:t>The Commission on Hispanic Affairs; </w:t>
      </w:r>
      <w:r w:rsidRPr="00F02E80">
        <w:rPr>
          <w:rFonts w:ascii="Helvetica Neue" w:hAnsi="Helvetica Neue" w:cs="Times New Roman"/>
          <w:b/>
          <w:bCs/>
          <w:color w:val="000000"/>
          <w:spacing w:val="12"/>
        </w:rPr>
        <w:t>and</w:t>
      </w:r>
    </w:p>
    <w:p w:rsidR="00F02E80" w:rsidRPr="00F02E80" w:rsidRDefault="00F02E80" w:rsidP="00F02E80">
      <w:pPr>
        <w:spacing w:before="192" w:line="432" w:lineRule="atLeast"/>
        <w:ind w:left="960"/>
        <w:rPr>
          <w:rFonts w:ascii="Helvetica Neue" w:hAnsi="Helvetica Neue" w:cs="Times New Roman"/>
          <w:color w:val="352D27"/>
        </w:rPr>
      </w:pPr>
      <w:r w:rsidRPr="00F02E80">
        <w:rPr>
          <w:rFonts w:ascii="Helvetica Neue" w:hAnsi="Helvetica Neue" w:cs="Times New Roman"/>
          <w:b/>
          <w:bCs/>
          <w:color w:val="241C16"/>
          <w:sz w:val="25"/>
          <w:szCs w:val="25"/>
        </w:rPr>
        <w:t>(d</w:t>
      </w:r>
      <w:proofErr w:type="gramStart"/>
      <w:r w:rsidRPr="00F02E80">
        <w:rPr>
          <w:rFonts w:ascii="Helvetica Neue" w:hAnsi="Helvetica Neue" w:cs="Times New Roman"/>
          <w:b/>
          <w:bCs/>
          <w:color w:val="241C16"/>
          <w:sz w:val="25"/>
          <w:szCs w:val="25"/>
        </w:rPr>
        <w:t>)</w:t>
      </w:r>
      <w:r w:rsidRPr="00F02E80">
        <w:rPr>
          <w:rFonts w:ascii="Helvetica Neue" w:hAnsi="Helvetica Neue" w:cs="Times New Roman"/>
          <w:color w:val="352D27"/>
        </w:rPr>
        <w:t>The Commission on Indian Services.</w:t>
      </w:r>
      <w:proofErr w:type="gramEnd"/>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(2</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The task force shall submit an annual report to the Governor setting forth its view of the progress of natural resource agencies toward achieving the goals established pursuant to ORS </w:t>
      </w:r>
      <w:hyperlink r:id="rId11" w:history="1">
        <w:r w:rsidRPr="00F02E80">
          <w:rPr>
            <w:rFonts w:ascii="Helvetica Neue" w:hAnsi="Helvetica Neue" w:cs="Times New Roman"/>
            <w:b/>
            <w:bCs/>
            <w:color w:val="004276"/>
          </w:rPr>
          <w:t>182.542 (Duties of task force)</w:t>
        </w:r>
      </w:hyperlink>
      <w:r w:rsidRPr="00F02E80">
        <w:rPr>
          <w:rFonts w:ascii="Helvetica Neue" w:hAnsi="Helvetica Neue" w:cs="Times New Roman"/>
          <w:color w:val="352D27"/>
        </w:rPr>
        <w:t> and identifying any other environmental issues that the task force determines need attention.</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(3</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The term of office of each member is four years, but a member serves at the pleasure of the Governor</w:t>
      </w:r>
      <w:proofErr w:type="gramStart"/>
      <w:r w:rsidRPr="00F02E80">
        <w:rPr>
          <w:rFonts w:ascii="Helvetica Neue" w:hAnsi="Helvetica Neue" w:cs="Times New Roman"/>
          <w:color w:val="352D27"/>
        </w:rPr>
        <w:t xml:space="preserve">. </w:t>
      </w:r>
      <w:proofErr w:type="gramEnd"/>
      <w:r w:rsidRPr="00F02E80">
        <w:rPr>
          <w:rFonts w:ascii="Helvetica Neue" w:hAnsi="Helvetica Neue" w:cs="Times New Roman"/>
          <w:color w:val="352D27"/>
        </w:rPr>
        <w:t>Before the expiration of the term of a member, the Governor shall appoint a successor whose term begins on January 1 of the following year</w:t>
      </w:r>
      <w:proofErr w:type="gramStart"/>
      <w:r w:rsidRPr="00F02E80">
        <w:rPr>
          <w:rFonts w:ascii="Helvetica Neue" w:hAnsi="Helvetica Neue" w:cs="Times New Roman"/>
          <w:color w:val="352D27"/>
        </w:rPr>
        <w:t xml:space="preserve">. </w:t>
      </w:r>
      <w:proofErr w:type="gramEnd"/>
      <w:r w:rsidRPr="00F02E80">
        <w:rPr>
          <w:rFonts w:ascii="Helvetica Neue" w:hAnsi="Helvetica Neue" w:cs="Times New Roman"/>
          <w:color w:val="352D27"/>
        </w:rPr>
        <w:t>A member may be reappointed</w:t>
      </w:r>
      <w:proofErr w:type="gramStart"/>
      <w:r w:rsidRPr="00F02E80">
        <w:rPr>
          <w:rFonts w:ascii="Helvetica Neue" w:hAnsi="Helvetica Neue" w:cs="Times New Roman"/>
          <w:color w:val="352D27"/>
        </w:rPr>
        <w:t xml:space="preserve">. </w:t>
      </w:r>
      <w:proofErr w:type="gramEnd"/>
      <w:r w:rsidRPr="00F02E80">
        <w:rPr>
          <w:rFonts w:ascii="Helvetica Neue" w:hAnsi="Helvetica Neue" w:cs="Times New Roman"/>
          <w:color w:val="352D27"/>
        </w:rPr>
        <w:t>If there is a vacancy for any cause, the Governor shall make an appointment to become immediately effective for the unexpired term.</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(4</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A member of the task force who is not a member of the Legislative Assembly is entitled to compensation and expenses in the manner and amounts provided for in ORS </w:t>
      </w:r>
      <w:hyperlink r:id="rId12" w:history="1">
        <w:r w:rsidRPr="00F02E80">
          <w:rPr>
            <w:rFonts w:ascii="Helvetica Neue" w:hAnsi="Helvetica Neue" w:cs="Times New Roman"/>
            <w:b/>
            <w:bCs/>
            <w:color w:val="004276"/>
          </w:rPr>
          <w:t>292.495 (Compensation and expenses of members of state boards and commissions)</w:t>
        </w:r>
      </w:hyperlink>
      <w:proofErr w:type="gramStart"/>
      <w:r w:rsidRPr="00F02E80">
        <w:rPr>
          <w:rFonts w:ascii="Helvetica Neue" w:hAnsi="Helvetica Neue" w:cs="Times New Roman"/>
          <w:color w:val="352D27"/>
        </w:rPr>
        <w:t xml:space="preserve">. </w:t>
      </w:r>
      <w:proofErr w:type="gramEnd"/>
      <w:r w:rsidRPr="00F02E80">
        <w:rPr>
          <w:rFonts w:ascii="Helvetica Neue" w:hAnsi="Helvetica Neue" w:cs="Times New Roman"/>
          <w:color w:val="352D27"/>
        </w:rPr>
        <w:t>Claims for compensation and expenses incurred in performing functions of the task force shall be paid out of funds appropriated to the Governor for that purpose.</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lastRenderedPageBreak/>
        <w:t>(5</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The task force shall elect one of its members as a chairperson and another as vice chairperson, for the terms and with the duties and powers necessary for the performance of the functions of such offices as the task force determines.</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(6</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A majority of the members of the task force constitutes a quorum for the transaction of business.</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(7</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The task force shall meet at least once every three months at times and places specified by the chairperson</w:t>
      </w:r>
      <w:proofErr w:type="gramStart"/>
      <w:r w:rsidRPr="00F02E80">
        <w:rPr>
          <w:rFonts w:ascii="Helvetica Neue" w:hAnsi="Helvetica Neue" w:cs="Times New Roman"/>
          <w:color w:val="352D27"/>
        </w:rPr>
        <w:t xml:space="preserve">. </w:t>
      </w:r>
      <w:proofErr w:type="gramEnd"/>
      <w:r w:rsidRPr="00F02E80">
        <w:rPr>
          <w:rFonts w:ascii="Helvetica Neue" w:hAnsi="Helvetica Neue" w:cs="Times New Roman"/>
          <w:color w:val="352D27"/>
        </w:rPr>
        <w:t>The task force also shall meet at other times and places specified by the call of the chairperson or of a majority of the members of the task force.</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(8</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The Governor shall provide the task force with the necessary clerical and administrative staff support.</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(9</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Natural resource agencies are directed to assist the task force in the performance of its duties and, to the extent permitted by laws relating to confidentiality, to furnish such information and advice as the members of the task force consider necessary to perform their duties.</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(10</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A member of the task force who is a member of the Legislative Assembly may serve in an advisory capacity only</w:t>
      </w:r>
      <w:proofErr w:type="gramStart"/>
      <w:r w:rsidRPr="00F02E80">
        <w:rPr>
          <w:rFonts w:ascii="Helvetica Neue" w:hAnsi="Helvetica Neue" w:cs="Times New Roman"/>
          <w:color w:val="352D27"/>
        </w:rPr>
        <w:t xml:space="preserve">. </w:t>
      </w:r>
      <w:proofErr w:type="gramEnd"/>
      <w:r w:rsidRPr="00F02E80">
        <w:rPr>
          <w:rFonts w:ascii="Helvetica Neue" w:hAnsi="Helvetica Neue" w:cs="Times New Roman"/>
          <w:color w:val="352D27"/>
        </w:rPr>
        <w:t>[2007 c.909 §2; 2011 c.273 §5]</w:t>
      </w:r>
    </w:p>
    <w:p w:rsidR="00F02E80" w:rsidRPr="002E5B4C" w:rsidRDefault="00F02E80" w:rsidP="002E5B4C">
      <w:pPr>
        <w:spacing w:after="225" w:line="432" w:lineRule="atLeast"/>
        <w:rPr>
          <w:rFonts w:ascii="Helvetica Neue" w:hAnsi="Helvetica Neue" w:cs="Times New Roman"/>
          <w:color w:val="352D27"/>
        </w:rPr>
      </w:pPr>
      <w:r w:rsidRPr="00F02E80">
        <w:rPr>
          <w:rFonts w:ascii="Helvetica Neue" w:hAnsi="Helvetica Neue" w:cs="Times New Roman"/>
          <w:color w:val="352D27"/>
        </w:rPr>
        <w:t>Note: See note under </w:t>
      </w:r>
      <w:hyperlink r:id="rId13" w:history="1">
        <w:r w:rsidRPr="00F02E80">
          <w:rPr>
            <w:rFonts w:ascii="Helvetica Neue" w:hAnsi="Helvetica Neue" w:cs="Times New Roman"/>
            <w:b/>
            <w:bCs/>
            <w:color w:val="004276"/>
          </w:rPr>
          <w:t>182.535 ("Natural resource agency" defined for ORS 182.535 to 182.550)</w:t>
        </w:r>
      </w:hyperlink>
      <w:r w:rsidRPr="00F02E80">
        <w:rPr>
          <w:rFonts w:ascii="Helvetica Neue" w:hAnsi="Helvetica Neue" w:cs="Times New Roman"/>
          <w:color w:val="352D27"/>
        </w:rPr>
        <w:t>.</w:t>
      </w:r>
    </w:p>
    <w:p w:rsidR="00F02E80" w:rsidRPr="00F02E80" w:rsidRDefault="00F02E80" w:rsidP="00F02E80">
      <w:pPr>
        <w:spacing w:after="240"/>
        <w:outlineLvl w:val="0"/>
        <w:rPr>
          <w:rFonts w:ascii="Helvetica Neue" w:eastAsia="Times New Roman" w:hAnsi="Helvetica Neue" w:cs="Times New Roman"/>
          <w:b/>
          <w:bCs/>
          <w:color w:val="58361C"/>
          <w:kern w:val="36"/>
          <w:sz w:val="41"/>
          <w:szCs w:val="41"/>
        </w:rPr>
      </w:pPr>
      <w:r w:rsidRPr="00F02E80">
        <w:rPr>
          <w:rFonts w:ascii="Helvetica Neue" w:eastAsia="Times New Roman" w:hAnsi="Helvetica Neue" w:cs="Times New Roman"/>
          <w:b/>
          <w:bCs/>
          <w:color w:val="AF9980"/>
          <w:kern w:val="36"/>
          <w:sz w:val="41"/>
          <w:szCs w:val="41"/>
        </w:rPr>
        <w:t>2015 ORS</w:t>
      </w:r>
      <w:r w:rsidRPr="00F02E80">
        <w:rPr>
          <w:rFonts w:ascii="Helvetica Neue" w:eastAsia="Times New Roman" w:hAnsi="Helvetica Neue" w:cs="Times New Roman"/>
          <w:b/>
          <w:bCs/>
          <w:color w:val="58361C"/>
          <w:kern w:val="36"/>
          <w:sz w:val="41"/>
          <w:szCs w:val="41"/>
        </w:rPr>
        <w:t> 182.542</w:t>
      </w:r>
      <w:r w:rsidRPr="00F02E80">
        <w:rPr>
          <w:rFonts w:ascii="Helvetica Neue" w:eastAsia="Times New Roman" w:hAnsi="Helvetica Neue" w:cs="Times New Roman"/>
          <w:b/>
          <w:bCs/>
          <w:color w:val="AF9980"/>
          <w:kern w:val="36"/>
          <w:sz w:val="41"/>
          <w:szCs w:val="41"/>
        </w:rPr>
        <w:t>¹</w:t>
      </w:r>
      <w:r w:rsidRPr="00F02E80">
        <w:rPr>
          <w:rFonts w:ascii="Helvetica Neue" w:eastAsia="Times New Roman" w:hAnsi="Helvetica Neue" w:cs="Times New Roman"/>
          <w:b/>
          <w:bCs/>
          <w:color w:val="58361C"/>
          <w:kern w:val="36"/>
          <w:sz w:val="41"/>
          <w:szCs w:val="41"/>
        </w:rPr>
        <w:t> </w:t>
      </w:r>
    </w:p>
    <w:p w:rsidR="00F02E80" w:rsidRPr="00F02E80" w:rsidRDefault="00F02E80" w:rsidP="00F02E80">
      <w:pPr>
        <w:spacing w:after="240"/>
        <w:outlineLvl w:val="0"/>
        <w:rPr>
          <w:rFonts w:ascii="Helvetica Neue" w:eastAsia="Times New Roman" w:hAnsi="Helvetica Neue" w:cs="Times New Roman"/>
          <w:b/>
          <w:bCs/>
          <w:color w:val="58361C"/>
          <w:kern w:val="36"/>
          <w:sz w:val="41"/>
          <w:szCs w:val="41"/>
        </w:rPr>
      </w:pPr>
      <w:r w:rsidRPr="00F02E80">
        <w:rPr>
          <w:rFonts w:ascii="Helvetica Neue" w:eastAsia="Times New Roman" w:hAnsi="Helvetica Neue" w:cs="Times New Roman"/>
          <w:b/>
          <w:bCs/>
          <w:color w:val="58361C"/>
          <w:kern w:val="36"/>
          <w:sz w:val="41"/>
          <w:szCs w:val="41"/>
        </w:rPr>
        <w:t>Duties of task force</w:t>
      </w:r>
    </w:p>
    <w:p w:rsidR="00F02E80" w:rsidRPr="00F02E80" w:rsidRDefault="00F02E80" w:rsidP="00F02E80">
      <w:pPr>
        <w:spacing w:after="225" w:line="432" w:lineRule="atLeast"/>
        <w:rPr>
          <w:rFonts w:ascii="Helvetica Neue" w:hAnsi="Helvetica Neue" w:cs="Times New Roman"/>
          <w:color w:val="352D27"/>
        </w:rPr>
      </w:pPr>
      <w:r w:rsidRPr="00F02E80">
        <w:rPr>
          <w:rFonts w:ascii="Helvetica Neue" w:hAnsi="Helvetica Neue" w:cs="Times New Roman"/>
          <w:color w:val="352D27"/>
        </w:rPr>
        <w:t>The Environmental Justice Task Force shall:</w:t>
      </w:r>
      <w:bookmarkStart w:id="0" w:name="_GoBack"/>
      <w:bookmarkEnd w:id="0"/>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(1</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Advise the Governor on environmental justice issues;</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lastRenderedPageBreak/>
        <w:t>(2</w:t>
      </w:r>
      <w:proofErr w:type="gramStart"/>
      <w:r w:rsidRPr="00F02E80">
        <w:rPr>
          <w:rFonts w:ascii="Helvetica Neue" w:hAnsi="Helvetica Neue" w:cs="Times New Roman"/>
          <w:b/>
          <w:bCs/>
          <w:color w:val="241C16"/>
          <w:sz w:val="26"/>
          <w:szCs w:val="26"/>
        </w:rPr>
        <w:t>)</w:t>
      </w:r>
      <w:r w:rsidRPr="00F02E80">
        <w:rPr>
          <w:rFonts w:ascii="Helvetica Neue" w:hAnsi="Helvetica Neue" w:cs="Times New Roman"/>
          <w:color w:val="352D27"/>
        </w:rPr>
        <w:t>Advise</w:t>
      </w:r>
      <w:proofErr w:type="gramEnd"/>
      <w:r w:rsidRPr="00F02E80">
        <w:rPr>
          <w:rFonts w:ascii="Helvetica Neue" w:hAnsi="Helvetica Neue" w:cs="Times New Roman"/>
          <w:color w:val="352D27"/>
        </w:rPr>
        <w:t xml:space="preserve"> natural resource agencies on environmental justice issues, including community concerns and public participation processes;</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(3</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 xml:space="preserve">Identify, in cooperation with natural resource agencies, </w:t>
      </w:r>
      <w:proofErr w:type="gramStart"/>
      <w:r w:rsidRPr="00F02E80">
        <w:rPr>
          <w:rFonts w:ascii="Helvetica Neue" w:hAnsi="Helvetica Neue" w:cs="Times New Roman"/>
          <w:color w:val="352D27"/>
        </w:rPr>
        <w:t>minority</w:t>
      </w:r>
      <w:proofErr w:type="gramEnd"/>
      <w:r w:rsidRPr="00F02E80">
        <w:rPr>
          <w:rFonts w:ascii="Helvetica Neue" w:hAnsi="Helvetica Neue" w:cs="Times New Roman"/>
          <w:color w:val="352D27"/>
        </w:rPr>
        <w:t xml:space="preserve"> and low-income communities that may be affected by environmental decisions made by the agencies;</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(4</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Meet with environmental justice communities and make recommendations to the Governor regarding concerns raised by these communities; </w:t>
      </w:r>
      <w:r w:rsidRPr="00F02E80">
        <w:rPr>
          <w:rFonts w:ascii="Helvetica Neue" w:hAnsi="Helvetica Neue" w:cs="Times New Roman"/>
          <w:b/>
          <w:bCs/>
          <w:color w:val="000000"/>
          <w:spacing w:val="12"/>
        </w:rPr>
        <w:t>and</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(5</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Define environmental justice issues in the state</w:t>
      </w:r>
      <w:proofErr w:type="gramStart"/>
      <w:r w:rsidRPr="00F02E80">
        <w:rPr>
          <w:rFonts w:ascii="Helvetica Neue" w:hAnsi="Helvetica Neue" w:cs="Times New Roman"/>
          <w:color w:val="352D27"/>
        </w:rPr>
        <w:t xml:space="preserve">. </w:t>
      </w:r>
      <w:proofErr w:type="gramEnd"/>
      <w:r w:rsidRPr="00F02E80">
        <w:rPr>
          <w:rFonts w:ascii="Helvetica Neue" w:hAnsi="Helvetica Neue" w:cs="Times New Roman"/>
          <w:color w:val="352D27"/>
        </w:rPr>
        <w:t>[2007 c.909 §3]</w:t>
      </w:r>
    </w:p>
    <w:p w:rsidR="00F02E80" w:rsidRPr="002E5B4C" w:rsidRDefault="00F02E80" w:rsidP="002E5B4C">
      <w:pPr>
        <w:spacing w:after="225" w:line="432" w:lineRule="atLeast"/>
        <w:rPr>
          <w:rFonts w:ascii="Helvetica Neue" w:hAnsi="Helvetica Neue" w:cs="Times New Roman"/>
          <w:color w:val="352D27"/>
        </w:rPr>
      </w:pPr>
      <w:r w:rsidRPr="00F02E80">
        <w:rPr>
          <w:rFonts w:ascii="Helvetica Neue" w:hAnsi="Helvetica Neue" w:cs="Times New Roman"/>
          <w:color w:val="352D27"/>
        </w:rPr>
        <w:t>Note: See note under </w:t>
      </w:r>
      <w:hyperlink r:id="rId14" w:history="1">
        <w:r w:rsidRPr="00F02E80">
          <w:rPr>
            <w:rFonts w:ascii="Helvetica Neue" w:hAnsi="Helvetica Neue" w:cs="Times New Roman"/>
            <w:b/>
            <w:bCs/>
            <w:color w:val="004276"/>
          </w:rPr>
          <w:t>182.535 ("Natural resource agency" defined for ORS 182.535 to 182.550)</w:t>
        </w:r>
      </w:hyperlink>
      <w:r w:rsidRPr="00F02E80">
        <w:rPr>
          <w:rFonts w:ascii="Helvetica Neue" w:hAnsi="Helvetica Neue" w:cs="Times New Roman"/>
          <w:color w:val="352D27"/>
        </w:rPr>
        <w:t>.</w:t>
      </w:r>
    </w:p>
    <w:p w:rsidR="00F02E80" w:rsidRPr="00F02E80" w:rsidRDefault="00F02E80" w:rsidP="00F02E80">
      <w:pPr>
        <w:spacing w:after="240"/>
        <w:outlineLvl w:val="0"/>
        <w:rPr>
          <w:rFonts w:ascii="Helvetica Neue" w:eastAsia="Times New Roman" w:hAnsi="Helvetica Neue" w:cs="Times New Roman"/>
          <w:b/>
          <w:bCs/>
          <w:color w:val="58361C"/>
          <w:kern w:val="36"/>
          <w:sz w:val="41"/>
          <w:szCs w:val="41"/>
        </w:rPr>
      </w:pPr>
      <w:r w:rsidRPr="00F02E80">
        <w:rPr>
          <w:rFonts w:ascii="Helvetica Neue" w:eastAsia="Times New Roman" w:hAnsi="Helvetica Neue" w:cs="Times New Roman"/>
          <w:b/>
          <w:bCs/>
          <w:color w:val="AF9980"/>
          <w:kern w:val="36"/>
          <w:sz w:val="41"/>
          <w:szCs w:val="41"/>
        </w:rPr>
        <w:t>2015 ORS</w:t>
      </w:r>
      <w:r w:rsidRPr="00F02E80">
        <w:rPr>
          <w:rFonts w:ascii="Helvetica Neue" w:eastAsia="Times New Roman" w:hAnsi="Helvetica Neue" w:cs="Times New Roman"/>
          <w:b/>
          <w:bCs/>
          <w:color w:val="58361C"/>
          <w:kern w:val="36"/>
          <w:sz w:val="41"/>
          <w:szCs w:val="41"/>
        </w:rPr>
        <w:t> 182.545</w:t>
      </w:r>
      <w:r w:rsidRPr="00F02E80">
        <w:rPr>
          <w:rFonts w:ascii="Helvetica Neue" w:eastAsia="Times New Roman" w:hAnsi="Helvetica Neue" w:cs="Times New Roman"/>
          <w:b/>
          <w:bCs/>
          <w:color w:val="AF9980"/>
          <w:kern w:val="36"/>
          <w:sz w:val="41"/>
          <w:szCs w:val="41"/>
        </w:rPr>
        <w:t>¹</w:t>
      </w:r>
      <w:r w:rsidRPr="00F02E80">
        <w:rPr>
          <w:rFonts w:ascii="Helvetica Neue" w:eastAsia="Times New Roman" w:hAnsi="Helvetica Neue" w:cs="Times New Roman"/>
          <w:b/>
          <w:bCs/>
          <w:color w:val="58361C"/>
          <w:kern w:val="36"/>
          <w:sz w:val="41"/>
          <w:szCs w:val="41"/>
        </w:rPr>
        <w:t> </w:t>
      </w:r>
    </w:p>
    <w:p w:rsidR="00F02E80" w:rsidRPr="00F02E80" w:rsidRDefault="00F02E80" w:rsidP="00F02E80">
      <w:pPr>
        <w:spacing w:after="240"/>
        <w:outlineLvl w:val="0"/>
        <w:rPr>
          <w:rFonts w:ascii="Helvetica Neue" w:eastAsia="Times New Roman" w:hAnsi="Helvetica Neue" w:cs="Times New Roman"/>
          <w:b/>
          <w:bCs/>
          <w:color w:val="58361C"/>
          <w:kern w:val="36"/>
          <w:sz w:val="41"/>
          <w:szCs w:val="41"/>
        </w:rPr>
      </w:pPr>
      <w:r w:rsidRPr="00F02E80">
        <w:rPr>
          <w:rFonts w:ascii="Helvetica Neue" w:eastAsia="Times New Roman" w:hAnsi="Helvetica Neue" w:cs="Times New Roman"/>
          <w:b/>
          <w:bCs/>
          <w:color w:val="58361C"/>
          <w:kern w:val="36"/>
          <w:sz w:val="41"/>
          <w:szCs w:val="41"/>
        </w:rPr>
        <w:t>Duties of natural resource agencies</w:t>
      </w:r>
    </w:p>
    <w:p w:rsidR="00F02E80" w:rsidRPr="00F02E80" w:rsidRDefault="00F02E80" w:rsidP="00F02E80">
      <w:pPr>
        <w:spacing w:after="225" w:line="432" w:lineRule="atLeast"/>
        <w:rPr>
          <w:rFonts w:ascii="Helvetica Neue" w:hAnsi="Helvetica Neue" w:cs="Times New Roman"/>
          <w:color w:val="352D27"/>
        </w:rPr>
      </w:pPr>
      <w:r w:rsidRPr="00F02E80">
        <w:rPr>
          <w:rFonts w:ascii="Helvetica Neue" w:hAnsi="Helvetica Neue" w:cs="Times New Roman"/>
          <w:color w:val="352D27"/>
        </w:rPr>
        <w:t>In order to provide greater public participation and to ensure that all persons affected by decisions of the natural resource agencies have a voice in those decisions, each natural resource agency shall:</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(1</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In making a determination whether and how to act, consider the effects of the action on environmental justice issues.</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(2</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Hold hearings at times and in locations that are convenient for people in the communities that will be affected by the decisions stemming from the hearings.</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(3</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Engage in public outreach activities in the communities that will be affected by decisions of the agency.</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(4</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Create a citizen advocate position that is responsible for:</w:t>
      </w:r>
    </w:p>
    <w:p w:rsidR="00F02E80" w:rsidRPr="00F02E80" w:rsidRDefault="00F02E80" w:rsidP="00F02E80">
      <w:pPr>
        <w:spacing w:before="192" w:line="432" w:lineRule="atLeast"/>
        <w:ind w:left="960"/>
        <w:rPr>
          <w:rFonts w:ascii="Helvetica Neue" w:hAnsi="Helvetica Neue" w:cs="Times New Roman"/>
          <w:color w:val="352D27"/>
        </w:rPr>
      </w:pPr>
      <w:r w:rsidRPr="00F02E80">
        <w:rPr>
          <w:rFonts w:ascii="Helvetica Neue" w:hAnsi="Helvetica Neue" w:cs="Times New Roman"/>
          <w:b/>
          <w:bCs/>
          <w:color w:val="241C16"/>
          <w:sz w:val="25"/>
          <w:szCs w:val="25"/>
        </w:rPr>
        <w:lastRenderedPageBreak/>
        <w:t>(a</w:t>
      </w:r>
      <w:proofErr w:type="gramStart"/>
      <w:r w:rsidRPr="00F02E80">
        <w:rPr>
          <w:rFonts w:ascii="Helvetica Neue" w:hAnsi="Helvetica Neue" w:cs="Times New Roman"/>
          <w:b/>
          <w:bCs/>
          <w:color w:val="241C16"/>
          <w:sz w:val="25"/>
          <w:szCs w:val="25"/>
        </w:rPr>
        <w:t>)</w:t>
      </w:r>
      <w:proofErr w:type="gramEnd"/>
      <w:r w:rsidRPr="00F02E80">
        <w:rPr>
          <w:rFonts w:ascii="Helvetica Neue" w:hAnsi="Helvetica Neue" w:cs="Times New Roman"/>
          <w:color w:val="352D27"/>
        </w:rPr>
        <w:t>Encouraging public participation;</w:t>
      </w:r>
    </w:p>
    <w:p w:rsidR="00F02E80" w:rsidRPr="00F02E80" w:rsidRDefault="00F02E80" w:rsidP="00F02E80">
      <w:pPr>
        <w:spacing w:before="192" w:line="432" w:lineRule="atLeast"/>
        <w:ind w:left="960"/>
        <w:rPr>
          <w:rFonts w:ascii="Helvetica Neue" w:hAnsi="Helvetica Neue" w:cs="Times New Roman"/>
          <w:color w:val="352D27"/>
        </w:rPr>
      </w:pPr>
      <w:r w:rsidRPr="00F02E80">
        <w:rPr>
          <w:rFonts w:ascii="Helvetica Neue" w:hAnsi="Helvetica Neue" w:cs="Times New Roman"/>
          <w:b/>
          <w:bCs/>
          <w:color w:val="241C16"/>
          <w:sz w:val="25"/>
          <w:szCs w:val="25"/>
        </w:rPr>
        <w:t>(b</w:t>
      </w:r>
      <w:proofErr w:type="gramStart"/>
      <w:r w:rsidRPr="00F02E80">
        <w:rPr>
          <w:rFonts w:ascii="Helvetica Neue" w:hAnsi="Helvetica Neue" w:cs="Times New Roman"/>
          <w:b/>
          <w:bCs/>
          <w:color w:val="241C16"/>
          <w:sz w:val="25"/>
          <w:szCs w:val="25"/>
        </w:rPr>
        <w:t>)</w:t>
      </w:r>
      <w:proofErr w:type="gramEnd"/>
      <w:r w:rsidRPr="00F02E80">
        <w:rPr>
          <w:rFonts w:ascii="Helvetica Neue" w:hAnsi="Helvetica Neue" w:cs="Times New Roman"/>
          <w:color w:val="352D27"/>
        </w:rPr>
        <w:t>Ensuring that the agency considers environmental justice issues; </w:t>
      </w:r>
      <w:r w:rsidRPr="00F02E80">
        <w:rPr>
          <w:rFonts w:ascii="Helvetica Neue" w:hAnsi="Helvetica Neue" w:cs="Times New Roman"/>
          <w:b/>
          <w:bCs/>
          <w:color w:val="000000"/>
          <w:spacing w:val="12"/>
        </w:rPr>
        <w:t>and</w:t>
      </w:r>
    </w:p>
    <w:p w:rsidR="00F02E80" w:rsidRPr="00F02E80" w:rsidRDefault="00F02E80" w:rsidP="00F02E80">
      <w:pPr>
        <w:spacing w:before="192" w:line="432" w:lineRule="atLeast"/>
        <w:ind w:left="960"/>
        <w:rPr>
          <w:rFonts w:ascii="Helvetica Neue" w:hAnsi="Helvetica Neue" w:cs="Times New Roman"/>
          <w:color w:val="352D27"/>
        </w:rPr>
      </w:pPr>
      <w:r w:rsidRPr="00F02E80">
        <w:rPr>
          <w:rFonts w:ascii="Helvetica Neue" w:hAnsi="Helvetica Neue" w:cs="Times New Roman"/>
          <w:b/>
          <w:bCs/>
          <w:color w:val="241C16"/>
          <w:sz w:val="25"/>
          <w:szCs w:val="25"/>
        </w:rPr>
        <w:t>(c</w:t>
      </w:r>
      <w:proofErr w:type="gramStart"/>
      <w:r w:rsidRPr="00F02E80">
        <w:rPr>
          <w:rFonts w:ascii="Helvetica Neue" w:hAnsi="Helvetica Neue" w:cs="Times New Roman"/>
          <w:b/>
          <w:bCs/>
          <w:color w:val="241C16"/>
          <w:sz w:val="25"/>
          <w:szCs w:val="25"/>
        </w:rPr>
        <w:t>)</w:t>
      </w:r>
      <w:proofErr w:type="gramEnd"/>
      <w:r w:rsidRPr="00F02E80">
        <w:rPr>
          <w:rFonts w:ascii="Helvetica Neue" w:hAnsi="Helvetica Neue" w:cs="Times New Roman"/>
          <w:color w:val="352D27"/>
        </w:rPr>
        <w:t>Informing the agency of the effect of its decisions on communities traditionally underrepresented in public processes</w:t>
      </w:r>
      <w:proofErr w:type="gramStart"/>
      <w:r w:rsidRPr="00F02E80">
        <w:rPr>
          <w:rFonts w:ascii="Helvetica Neue" w:hAnsi="Helvetica Neue" w:cs="Times New Roman"/>
          <w:color w:val="352D27"/>
        </w:rPr>
        <w:t xml:space="preserve">. </w:t>
      </w:r>
      <w:proofErr w:type="gramEnd"/>
      <w:r w:rsidRPr="00F02E80">
        <w:rPr>
          <w:rFonts w:ascii="Helvetica Neue" w:hAnsi="Helvetica Neue" w:cs="Times New Roman"/>
          <w:color w:val="352D27"/>
        </w:rPr>
        <w:t>[2007 c.909 §4]</w:t>
      </w:r>
    </w:p>
    <w:p w:rsidR="00F02E80" w:rsidRPr="00F02E80" w:rsidRDefault="00F02E80" w:rsidP="00F02E80">
      <w:pPr>
        <w:spacing w:after="225" w:line="432" w:lineRule="atLeast"/>
        <w:rPr>
          <w:rFonts w:ascii="Helvetica Neue" w:hAnsi="Helvetica Neue" w:cs="Times New Roman"/>
          <w:color w:val="352D27"/>
        </w:rPr>
      </w:pPr>
      <w:r w:rsidRPr="00F02E80">
        <w:rPr>
          <w:rFonts w:ascii="Helvetica Neue" w:hAnsi="Helvetica Neue" w:cs="Times New Roman"/>
          <w:color w:val="352D27"/>
        </w:rPr>
        <w:t>Note: See note under </w:t>
      </w:r>
      <w:hyperlink r:id="rId15" w:history="1">
        <w:r w:rsidRPr="00F02E80">
          <w:rPr>
            <w:rFonts w:ascii="Helvetica Neue" w:hAnsi="Helvetica Neue" w:cs="Times New Roman"/>
            <w:b/>
            <w:bCs/>
            <w:color w:val="004276"/>
          </w:rPr>
          <w:t>182.535 ("Natural resource agency" defined for ORS 182.535 to 182.550)</w:t>
        </w:r>
      </w:hyperlink>
      <w:r w:rsidRPr="00F02E80">
        <w:rPr>
          <w:rFonts w:ascii="Helvetica Neue" w:hAnsi="Helvetica Neue" w:cs="Times New Roman"/>
          <w:color w:val="352D27"/>
        </w:rPr>
        <w:t>.</w:t>
      </w:r>
    </w:p>
    <w:p w:rsidR="00F02E80" w:rsidRPr="00F02E80" w:rsidRDefault="00F02E80" w:rsidP="00F02E80">
      <w:pPr>
        <w:spacing w:after="240"/>
        <w:outlineLvl w:val="0"/>
        <w:rPr>
          <w:rFonts w:ascii="Helvetica Neue" w:eastAsia="Times New Roman" w:hAnsi="Helvetica Neue" w:cs="Times New Roman"/>
          <w:b/>
          <w:bCs/>
          <w:color w:val="58361C"/>
          <w:kern w:val="36"/>
          <w:sz w:val="41"/>
          <w:szCs w:val="41"/>
        </w:rPr>
      </w:pPr>
      <w:r w:rsidRPr="00F02E80">
        <w:rPr>
          <w:rFonts w:ascii="Helvetica Neue" w:eastAsia="Times New Roman" w:hAnsi="Helvetica Neue" w:cs="Times New Roman"/>
          <w:b/>
          <w:bCs/>
          <w:color w:val="AF9980"/>
          <w:kern w:val="36"/>
          <w:sz w:val="41"/>
          <w:szCs w:val="41"/>
        </w:rPr>
        <w:t>2015 ORS</w:t>
      </w:r>
      <w:r w:rsidRPr="00F02E80">
        <w:rPr>
          <w:rFonts w:ascii="Helvetica Neue" w:eastAsia="Times New Roman" w:hAnsi="Helvetica Neue" w:cs="Times New Roman"/>
          <w:b/>
          <w:bCs/>
          <w:color w:val="58361C"/>
          <w:kern w:val="36"/>
          <w:sz w:val="41"/>
          <w:szCs w:val="41"/>
        </w:rPr>
        <w:t> 182.550</w:t>
      </w:r>
      <w:r w:rsidRPr="00F02E80">
        <w:rPr>
          <w:rFonts w:ascii="Helvetica Neue" w:eastAsia="Times New Roman" w:hAnsi="Helvetica Neue" w:cs="Times New Roman"/>
          <w:b/>
          <w:bCs/>
          <w:color w:val="AF9980"/>
          <w:kern w:val="36"/>
          <w:sz w:val="41"/>
          <w:szCs w:val="41"/>
        </w:rPr>
        <w:t>¹</w:t>
      </w:r>
      <w:r w:rsidRPr="00F02E80">
        <w:rPr>
          <w:rFonts w:ascii="Helvetica Neue" w:eastAsia="Times New Roman" w:hAnsi="Helvetica Neue" w:cs="Times New Roman"/>
          <w:b/>
          <w:bCs/>
          <w:color w:val="58361C"/>
          <w:kern w:val="36"/>
          <w:sz w:val="41"/>
          <w:szCs w:val="41"/>
        </w:rPr>
        <w:t> </w:t>
      </w:r>
    </w:p>
    <w:p w:rsidR="00F02E80" w:rsidRPr="00F02E80" w:rsidRDefault="00F02E80" w:rsidP="00F02E80">
      <w:pPr>
        <w:spacing w:after="240"/>
        <w:outlineLvl w:val="0"/>
        <w:rPr>
          <w:rFonts w:ascii="Helvetica Neue" w:eastAsia="Times New Roman" w:hAnsi="Helvetica Neue" w:cs="Times New Roman"/>
          <w:b/>
          <w:bCs/>
          <w:color w:val="58361C"/>
          <w:kern w:val="36"/>
          <w:sz w:val="41"/>
          <w:szCs w:val="41"/>
        </w:rPr>
      </w:pPr>
      <w:r w:rsidRPr="00F02E80">
        <w:rPr>
          <w:rFonts w:ascii="Helvetica Neue" w:eastAsia="Times New Roman" w:hAnsi="Helvetica Neue" w:cs="Times New Roman"/>
          <w:b/>
          <w:bCs/>
          <w:color w:val="58361C"/>
          <w:kern w:val="36"/>
          <w:sz w:val="41"/>
          <w:szCs w:val="41"/>
        </w:rPr>
        <w:t>Reports by natural resource agencies</w:t>
      </w:r>
    </w:p>
    <w:p w:rsidR="00F02E80" w:rsidRPr="00F02E80" w:rsidRDefault="00F02E80" w:rsidP="00F02E80">
      <w:pPr>
        <w:spacing w:after="225" w:line="432" w:lineRule="atLeast"/>
        <w:rPr>
          <w:rFonts w:ascii="Helvetica Neue" w:hAnsi="Helvetica Neue" w:cs="Times New Roman"/>
          <w:color w:val="352D27"/>
        </w:rPr>
      </w:pPr>
      <w:r w:rsidRPr="00F02E80">
        <w:rPr>
          <w:rFonts w:ascii="Helvetica Neue" w:hAnsi="Helvetica Neue" w:cs="Times New Roman"/>
          <w:color w:val="352D27"/>
        </w:rPr>
        <w:t>All directors of natural resource agencies, and other agency directors as the Governor may designate, shall report annually to the Environmental Justice Task Force and to the Governor on the results of the agencies’ efforts to:</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(1</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Address environmental justice issues;</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(2</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Increase public participation of individuals and communities affected by agencies’ decisions;</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(3</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Determine the effect of the agencies’ decisions on traditionally underrepresented communities; </w:t>
      </w:r>
      <w:r w:rsidRPr="00F02E80">
        <w:rPr>
          <w:rFonts w:ascii="Helvetica Neue" w:hAnsi="Helvetica Neue" w:cs="Times New Roman"/>
          <w:b/>
          <w:bCs/>
          <w:color w:val="000000"/>
          <w:spacing w:val="12"/>
        </w:rPr>
        <w:t>and</w:t>
      </w:r>
    </w:p>
    <w:p w:rsidR="00F02E80" w:rsidRPr="00F02E80" w:rsidRDefault="00F02E80" w:rsidP="00F02E80">
      <w:pPr>
        <w:spacing w:before="225" w:line="432" w:lineRule="atLeast"/>
        <w:ind w:left="480"/>
        <w:rPr>
          <w:rFonts w:ascii="Helvetica Neue" w:hAnsi="Helvetica Neue" w:cs="Times New Roman"/>
          <w:color w:val="352D27"/>
        </w:rPr>
      </w:pPr>
      <w:r w:rsidRPr="00F02E80">
        <w:rPr>
          <w:rFonts w:ascii="Helvetica Neue" w:hAnsi="Helvetica Neue" w:cs="Times New Roman"/>
          <w:b/>
          <w:bCs/>
          <w:color w:val="241C16"/>
          <w:sz w:val="26"/>
          <w:szCs w:val="26"/>
        </w:rPr>
        <w:t>(4</w:t>
      </w:r>
      <w:proofErr w:type="gramStart"/>
      <w:r w:rsidRPr="00F02E80">
        <w:rPr>
          <w:rFonts w:ascii="Helvetica Neue" w:hAnsi="Helvetica Neue" w:cs="Times New Roman"/>
          <w:b/>
          <w:bCs/>
          <w:color w:val="241C16"/>
          <w:sz w:val="26"/>
          <w:szCs w:val="26"/>
        </w:rPr>
        <w:t>)</w:t>
      </w:r>
      <w:proofErr w:type="gramEnd"/>
      <w:r w:rsidRPr="00F02E80">
        <w:rPr>
          <w:rFonts w:ascii="Helvetica Neue" w:hAnsi="Helvetica Neue" w:cs="Times New Roman"/>
          <w:color w:val="352D27"/>
        </w:rPr>
        <w:t>Improve plans to further the progress of environmental justice in Oregon</w:t>
      </w:r>
      <w:proofErr w:type="gramStart"/>
      <w:r w:rsidRPr="00F02E80">
        <w:rPr>
          <w:rFonts w:ascii="Helvetica Neue" w:hAnsi="Helvetica Neue" w:cs="Times New Roman"/>
          <w:color w:val="352D27"/>
        </w:rPr>
        <w:t xml:space="preserve">. </w:t>
      </w:r>
      <w:proofErr w:type="gramEnd"/>
      <w:r w:rsidRPr="00F02E80">
        <w:rPr>
          <w:rFonts w:ascii="Helvetica Neue" w:hAnsi="Helvetica Neue" w:cs="Times New Roman"/>
          <w:color w:val="352D27"/>
        </w:rPr>
        <w:t>[2007 c.909 §5]</w:t>
      </w:r>
    </w:p>
    <w:p w:rsidR="00F02E80" w:rsidRPr="00F02E80" w:rsidRDefault="00F02E80" w:rsidP="00F02E80">
      <w:pPr>
        <w:spacing w:after="225" w:line="432" w:lineRule="atLeast"/>
        <w:rPr>
          <w:rFonts w:ascii="Helvetica Neue" w:hAnsi="Helvetica Neue" w:cs="Times New Roman"/>
          <w:color w:val="352D27"/>
        </w:rPr>
      </w:pPr>
      <w:r w:rsidRPr="00F02E80">
        <w:rPr>
          <w:rFonts w:ascii="Helvetica Neue" w:hAnsi="Helvetica Neue" w:cs="Times New Roman"/>
          <w:color w:val="352D27"/>
        </w:rPr>
        <w:t>Note: See note under </w:t>
      </w:r>
      <w:hyperlink r:id="rId16" w:history="1">
        <w:r w:rsidRPr="00F02E80">
          <w:rPr>
            <w:rFonts w:ascii="Helvetica Neue" w:hAnsi="Helvetica Neue" w:cs="Times New Roman"/>
            <w:b/>
            <w:bCs/>
            <w:color w:val="004276"/>
          </w:rPr>
          <w:t>182.535 ("Natural resource agency" defined for ORS 182.535 to 182.550)</w:t>
        </w:r>
      </w:hyperlink>
      <w:r w:rsidRPr="00F02E80">
        <w:rPr>
          <w:rFonts w:ascii="Helvetica Neue" w:hAnsi="Helvetica Neue" w:cs="Times New Roman"/>
          <w:color w:val="352D27"/>
        </w:rPr>
        <w:t>.</w:t>
      </w:r>
    </w:p>
    <w:p w:rsidR="00273EDE" w:rsidRDefault="00273EDE"/>
    <w:sectPr w:rsidR="00273EDE" w:rsidSect="00721919">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A6D" w:rsidRDefault="00250A6D" w:rsidP="00F02E80">
      <w:r>
        <w:separator/>
      </w:r>
    </w:p>
  </w:endnote>
  <w:endnote w:type="continuationSeparator" w:id="0">
    <w:p w:rsidR="00250A6D" w:rsidRDefault="00250A6D" w:rsidP="00F02E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swiss"/>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E80" w:rsidRDefault="006D76FB" w:rsidP="004761F0">
    <w:pPr>
      <w:pStyle w:val="Footer"/>
      <w:framePr w:wrap="none" w:vAnchor="text" w:hAnchor="margin" w:xAlign="right" w:y="1"/>
      <w:rPr>
        <w:rStyle w:val="PageNumber"/>
      </w:rPr>
    </w:pPr>
    <w:r>
      <w:rPr>
        <w:rStyle w:val="PageNumber"/>
      </w:rPr>
      <w:fldChar w:fldCharType="begin"/>
    </w:r>
    <w:r w:rsidR="00F02E80">
      <w:rPr>
        <w:rStyle w:val="PageNumber"/>
      </w:rPr>
      <w:instrText xml:space="preserve">PAGE  </w:instrText>
    </w:r>
    <w:r>
      <w:rPr>
        <w:rStyle w:val="PageNumber"/>
      </w:rPr>
      <w:fldChar w:fldCharType="end"/>
    </w:r>
  </w:p>
  <w:p w:rsidR="00F02E80" w:rsidRDefault="00F02E80" w:rsidP="00F02E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E80" w:rsidRDefault="006D76FB" w:rsidP="004761F0">
    <w:pPr>
      <w:pStyle w:val="Footer"/>
      <w:framePr w:wrap="none" w:vAnchor="text" w:hAnchor="margin" w:xAlign="right" w:y="1"/>
      <w:rPr>
        <w:rStyle w:val="PageNumber"/>
      </w:rPr>
    </w:pPr>
    <w:r>
      <w:rPr>
        <w:rStyle w:val="PageNumber"/>
      </w:rPr>
      <w:fldChar w:fldCharType="begin"/>
    </w:r>
    <w:r w:rsidR="00F02E80">
      <w:rPr>
        <w:rStyle w:val="PageNumber"/>
      </w:rPr>
      <w:instrText xml:space="preserve">PAGE  </w:instrText>
    </w:r>
    <w:r>
      <w:rPr>
        <w:rStyle w:val="PageNumber"/>
      </w:rPr>
      <w:fldChar w:fldCharType="separate"/>
    </w:r>
    <w:r w:rsidR="002E5B4C">
      <w:rPr>
        <w:rStyle w:val="PageNumber"/>
        <w:noProof/>
      </w:rPr>
      <w:t>4</w:t>
    </w:r>
    <w:r>
      <w:rPr>
        <w:rStyle w:val="PageNumber"/>
      </w:rPr>
      <w:fldChar w:fldCharType="end"/>
    </w:r>
  </w:p>
  <w:p w:rsidR="00F02E80" w:rsidRDefault="00F02E80" w:rsidP="00F02E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A6D" w:rsidRDefault="00250A6D" w:rsidP="00F02E80">
      <w:r>
        <w:separator/>
      </w:r>
    </w:p>
  </w:footnote>
  <w:footnote w:type="continuationSeparator" w:id="0">
    <w:p w:rsidR="00250A6D" w:rsidRDefault="00250A6D" w:rsidP="00F02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F74A9"/>
    <w:multiLevelType w:val="multilevel"/>
    <w:tmpl w:val="7C50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728DB"/>
    <w:multiLevelType w:val="multilevel"/>
    <w:tmpl w:val="1916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347B2"/>
    <w:multiLevelType w:val="multilevel"/>
    <w:tmpl w:val="7B9C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535BE"/>
    <w:multiLevelType w:val="multilevel"/>
    <w:tmpl w:val="F04E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F53E7C"/>
    <w:multiLevelType w:val="multilevel"/>
    <w:tmpl w:val="987C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F02E80"/>
    <w:rsid w:val="00071A26"/>
    <w:rsid w:val="00137B87"/>
    <w:rsid w:val="00250A6D"/>
    <w:rsid w:val="00273EDE"/>
    <w:rsid w:val="002E5B4C"/>
    <w:rsid w:val="00481817"/>
    <w:rsid w:val="006566B3"/>
    <w:rsid w:val="006D76FB"/>
    <w:rsid w:val="00721919"/>
    <w:rsid w:val="00F0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B3"/>
  </w:style>
  <w:style w:type="paragraph" w:styleId="Heading1">
    <w:name w:val="heading 1"/>
    <w:basedOn w:val="Normal"/>
    <w:link w:val="Heading1Char"/>
    <w:uiPriority w:val="9"/>
    <w:qFormat/>
    <w:rsid w:val="00F02E8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E80"/>
    <w:rPr>
      <w:rFonts w:ascii="Times New Roman" w:hAnsi="Times New Roman" w:cs="Times New Roman"/>
      <w:b/>
      <w:bCs/>
      <w:kern w:val="36"/>
      <w:sz w:val="48"/>
      <w:szCs w:val="48"/>
    </w:rPr>
  </w:style>
  <w:style w:type="character" w:customStyle="1" w:styleId="quiet">
    <w:name w:val="quiet"/>
    <w:basedOn w:val="DefaultParagraphFont"/>
    <w:rsid w:val="00F02E80"/>
  </w:style>
  <w:style w:type="character" w:customStyle="1" w:styleId="apple-converted-space">
    <w:name w:val="apple-converted-space"/>
    <w:basedOn w:val="DefaultParagraphFont"/>
    <w:rsid w:val="00F02E80"/>
  </w:style>
  <w:style w:type="character" w:styleId="Hyperlink">
    <w:name w:val="Hyperlink"/>
    <w:basedOn w:val="DefaultParagraphFont"/>
    <w:uiPriority w:val="99"/>
    <w:semiHidden/>
    <w:unhideWhenUsed/>
    <w:rsid w:val="00F02E80"/>
    <w:rPr>
      <w:color w:val="0000FF"/>
      <w:u w:val="single"/>
    </w:rPr>
  </w:style>
  <w:style w:type="paragraph" w:styleId="NormalWeb">
    <w:name w:val="Normal (Web)"/>
    <w:basedOn w:val="Normal"/>
    <w:uiPriority w:val="99"/>
    <w:semiHidden/>
    <w:unhideWhenUsed/>
    <w:rsid w:val="00F02E80"/>
    <w:pPr>
      <w:spacing w:before="100" w:beforeAutospacing="1" w:after="100" w:afterAutospacing="1"/>
    </w:pPr>
    <w:rPr>
      <w:rFonts w:ascii="Times New Roman" w:hAnsi="Times New Roman" w:cs="Times New Roman"/>
    </w:rPr>
  </w:style>
  <w:style w:type="paragraph" w:customStyle="1" w:styleId="outlinelevel1">
    <w:name w:val="outline_level_1"/>
    <w:basedOn w:val="Normal"/>
    <w:rsid w:val="00F02E80"/>
    <w:pPr>
      <w:spacing w:before="100" w:beforeAutospacing="1" w:after="100" w:afterAutospacing="1"/>
    </w:pPr>
    <w:rPr>
      <w:rFonts w:ascii="Times New Roman" w:hAnsi="Times New Roman" w:cs="Times New Roman"/>
    </w:rPr>
  </w:style>
  <w:style w:type="character" w:customStyle="1" w:styleId="outlineheading1">
    <w:name w:val="outline_heading_1"/>
    <w:basedOn w:val="DefaultParagraphFont"/>
    <w:rsid w:val="00F02E80"/>
  </w:style>
  <w:style w:type="paragraph" w:customStyle="1" w:styleId="outlinelevel2">
    <w:name w:val="outline_level_2"/>
    <w:basedOn w:val="Normal"/>
    <w:rsid w:val="00F02E80"/>
    <w:pPr>
      <w:spacing w:before="100" w:beforeAutospacing="1" w:after="100" w:afterAutospacing="1"/>
    </w:pPr>
    <w:rPr>
      <w:rFonts w:ascii="Times New Roman" w:hAnsi="Times New Roman" w:cs="Times New Roman"/>
    </w:rPr>
  </w:style>
  <w:style w:type="character" w:customStyle="1" w:styleId="outlineheading2">
    <w:name w:val="outline_heading_2"/>
    <w:basedOn w:val="DefaultParagraphFont"/>
    <w:rsid w:val="00F02E80"/>
  </w:style>
  <w:style w:type="character" w:customStyle="1" w:styleId="connectingand">
    <w:name w:val="connecting_and"/>
    <w:basedOn w:val="DefaultParagraphFont"/>
    <w:rsid w:val="00F02E80"/>
  </w:style>
  <w:style w:type="character" w:customStyle="1" w:styleId="annotation">
    <w:name w:val="annotation"/>
    <w:basedOn w:val="DefaultParagraphFont"/>
    <w:rsid w:val="00F02E80"/>
  </w:style>
  <w:style w:type="paragraph" w:styleId="Footer">
    <w:name w:val="footer"/>
    <w:basedOn w:val="Normal"/>
    <w:link w:val="FooterChar"/>
    <w:uiPriority w:val="99"/>
    <w:unhideWhenUsed/>
    <w:rsid w:val="00F02E80"/>
    <w:pPr>
      <w:tabs>
        <w:tab w:val="center" w:pos="4680"/>
        <w:tab w:val="right" w:pos="9360"/>
      </w:tabs>
    </w:pPr>
  </w:style>
  <w:style w:type="character" w:customStyle="1" w:styleId="FooterChar">
    <w:name w:val="Footer Char"/>
    <w:basedOn w:val="DefaultParagraphFont"/>
    <w:link w:val="Footer"/>
    <w:uiPriority w:val="99"/>
    <w:rsid w:val="00F02E80"/>
  </w:style>
  <w:style w:type="character" w:styleId="PageNumber">
    <w:name w:val="page number"/>
    <w:basedOn w:val="DefaultParagraphFont"/>
    <w:uiPriority w:val="99"/>
    <w:semiHidden/>
    <w:unhideWhenUsed/>
    <w:rsid w:val="00F02E80"/>
  </w:style>
</w:styles>
</file>

<file path=word/webSettings.xml><?xml version="1.0" encoding="utf-8"?>
<w:webSettings xmlns:r="http://schemas.openxmlformats.org/officeDocument/2006/relationships" xmlns:w="http://schemas.openxmlformats.org/wordprocessingml/2006/main">
  <w:divs>
    <w:div w:id="402262505">
      <w:bodyDiv w:val="1"/>
      <w:marLeft w:val="0"/>
      <w:marRight w:val="0"/>
      <w:marTop w:val="0"/>
      <w:marBottom w:val="0"/>
      <w:divBdr>
        <w:top w:val="none" w:sz="0" w:space="0" w:color="auto"/>
        <w:left w:val="none" w:sz="0" w:space="0" w:color="auto"/>
        <w:bottom w:val="none" w:sz="0" w:space="0" w:color="auto"/>
        <w:right w:val="none" w:sz="0" w:space="0" w:color="auto"/>
      </w:divBdr>
      <w:divsChild>
        <w:div w:id="1417093080">
          <w:marLeft w:val="0"/>
          <w:marRight w:val="0"/>
          <w:marTop w:val="48"/>
          <w:marBottom w:val="0"/>
          <w:divBdr>
            <w:top w:val="none" w:sz="0" w:space="0" w:color="auto"/>
            <w:left w:val="none" w:sz="0" w:space="0" w:color="auto"/>
            <w:bottom w:val="none" w:sz="0" w:space="0" w:color="auto"/>
            <w:right w:val="none" w:sz="0" w:space="0" w:color="auto"/>
          </w:divBdr>
        </w:div>
        <w:div w:id="1946309441">
          <w:marLeft w:val="0"/>
          <w:marRight w:val="0"/>
          <w:marTop w:val="0"/>
          <w:marBottom w:val="0"/>
          <w:divBdr>
            <w:top w:val="none" w:sz="0" w:space="0" w:color="auto"/>
            <w:left w:val="none" w:sz="0" w:space="0" w:color="auto"/>
            <w:bottom w:val="none" w:sz="0" w:space="0" w:color="auto"/>
            <w:right w:val="none" w:sz="0" w:space="0" w:color="auto"/>
          </w:divBdr>
          <w:divsChild>
            <w:div w:id="779106274">
              <w:marLeft w:val="0"/>
              <w:marRight w:val="0"/>
              <w:marTop w:val="0"/>
              <w:marBottom w:val="0"/>
              <w:divBdr>
                <w:top w:val="none" w:sz="0" w:space="0" w:color="auto"/>
                <w:left w:val="none" w:sz="0" w:space="0" w:color="auto"/>
                <w:bottom w:val="none" w:sz="0" w:space="0" w:color="auto"/>
                <w:right w:val="none" w:sz="0" w:space="0" w:color="auto"/>
              </w:divBdr>
              <w:divsChild>
                <w:div w:id="6039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8277">
      <w:bodyDiv w:val="1"/>
      <w:marLeft w:val="0"/>
      <w:marRight w:val="0"/>
      <w:marTop w:val="0"/>
      <w:marBottom w:val="0"/>
      <w:divBdr>
        <w:top w:val="none" w:sz="0" w:space="0" w:color="auto"/>
        <w:left w:val="none" w:sz="0" w:space="0" w:color="auto"/>
        <w:bottom w:val="none" w:sz="0" w:space="0" w:color="auto"/>
        <w:right w:val="none" w:sz="0" w:space="0" w:color="auto"/>
      </w:divBdr>
      <w:divsChild>
        <w:div w:id="31467682">
          <w:marLeft w:val="0"/>
          <w:marRight w:val="0"/>
          <w:marTop w:val="48"/>
          <w:marBottom w:val="0"/>
          <w:divBdr>
            <w:top w:val="none" w:sz="0" w:space="0" w:color="auto"/>
            <w:left w:val="none" w:sz="0" w:space="0" w:color="auto"/>
            <w:bottom w:val="none" w:sz="0" w:space="0" w:color="auto"/>
            <w:right w:val="none" w:sz="0" w:space="0" w:color="auto"/>
          </w:divBdr>
        </w:div>
        <w:div w:id="911739382">
          <w:marLeft w:val="0"/>
          <w:marRight w:val="0"/>
          <w:marTop w:val="0"/>
          <w:marBottom w:val="0"/>
          <w:divBdr>
            <w:top w:val="none" w:sz="0" w:space="0" w:color="auto"/>
            <w:left w:val="none" w:sz="0" w:space="0" w:color="auto"/>
            <w:bottom w:val="none" w:sz="0" w:space="0" w:color="auto"/>
            <w:right w:val="none" w:sz="0" w:space="0" w:color="auto"/>
          </w:divBdr>
          <w:divsChild>
            <w:div w:id="649091466">
              <w:marLeft w:val="0"/>
              <w:marRight w:val="0"/>
              <w:marTop w:val="0"/>
              <w:marBottom w:val="0"/>
              <w:divBdr>
                <w:top w:val="none" w:sz="0" w:space="0" w:color="auto"/>
                <w:left w:val="none" w:sz="0" w:space="0" w:color="auto"/>
                <w:bottom w:val="none" w:sz="0" w:space="0" w:color="auto"/>
                <w:right w:val="none" w:sz="0" w:space="0" w:color="auto"/>
              </w:divBdr>
              <w:divsChild>
                <w:div w:id="5146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5617">
      <w:bodyDiv w:val="1"/>
      <w:marLeft w:val="0"/>
      <w:marRight w:val="0"/>
      <w:marTop w:val="0"/>
      <w:marBottom w:val="0"/>
      <w:divBdr>
        <w:top w:val="none" w:sz="0" w:space="0" w:color="auto"/>
        <w:left w:val="none" w:sz="0" w:space="0" w:color="auto"/>
        <w:bottom w:val="none" w:sz="0" w:space="0" w:color="auto"/>
        <w:right w:val="none" w:sz="0" w:space="0" w:color="auto"/>
      </w:divBdr>
      <w:divsChild>
        <w:div w:id="1660618717">
          <w:marLeft w:val="0"/>
          <w:marRight w:val="0"/>
          <w:marTop w:val="48"/>
          <w:marBottom w:val="0"/>
          <w:divBdr>
            <w:top w:val="none" w:sz="0" w:space="0" w:color="auto"/>
            <w:left w:val="none" w:sz="0" w:space="0" w:color="auto"/>
            <w:bottom w:val="none" w:sz="0" w:space="0" w:color="auto"/>
            <w:right w:val="none" w:sz="0" w:space="0" w:color="auto"/>
          </w:divBdr>
        </w:div>
        <w:div w:id="918178892">
          <w:marLeft w:val="0"/>
          <w:marRight w:val="0"/>
          <w:marTop w:val="0"/>
          <w:marBottom w:val="0"/>
          <w:divBdr>
            <w:top w:val="none" w:sz="0" w:space="0" w:color="auto"/>
            <w:left w:val="none" w:sz="0" w:space="0" w:color="auto"/>
            <w:bottom w:val="none" w:sz="0" w:space="0" w:color="auto"/>
            <w:right w:val="none" w:sz="0" w:space="0" w:color="auto"/>
          </w:divBdr>
          <w:divsChild>
            <w:div w:id="712386731">
              <w:marLeft w:val="0"/>
              <w:marRight w:val="0"/>
              <w:marTop w:val="0"/>
              <w:marBottom w:val="0"/>
              <w:divBdr>
                <w:top w:val="none" w:sz="0" w:space="0" w:color="auto"/>
                <w:left w:val="none" w:sz="0" w:space="0" w:color="auto"/>
                <w:bottom w:val="none" w:sz="0" w:space="0" w:color="auto"/>
                <w:right w:val="none" w:sz="0" w:space="0" w:color="auto"/>
              </w:divBdr>
              <w:divsChild>
                <w:div w:id="10215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4620">
      <w:bodyDiv w:val="1"/>
      <w:marLeft w:val="0"/>
      <w:marRight w:val="0"/>
      <w:marTop w:val="0"/>
      <w:marBottom w:val="0"/>
      <w:divBdr>
        <w:top w:val="none" w:sz="0" w:space="0" w:color="auto"/>
        <w:left w:val="none" w:sz="0" w:space="0" w:color="auto"/>
        <w:bottom w:val="none" w:sz="0" w:space="0" w:color="auto"/>
        <w:right w:val="none" w:sz="0" w:space="0" w:color="auto"/>
      </w:divBdr>
      <w:divsChild>
        <w:div w:id="1190603668">
          <w:marLeft w:val="0"/>
          <w:marRight w:val="0"/>
          <w:marTop w:val="48"/>
          <w:marBottom w:val="0"/>
          <w:divBdr>
            <w:top w:val="none" w:sz="0" w:space="0" w:color="auto"/>
            <w:left w:val="none" w:sz="0" w:space="0" w:color="auto"/>
            <w:bottom w:val="none" w:sz="0" w:space="0" w:color="auto"/>
            <w:right w:val="none" w:sz="0" w:space="0" w:color="auto"/>
          </w:divBdr>
        </w:div>
        <w:div w:id="1210340653">
          <w:marLeft w:val="0"/>
          <w:marRight w:val="0"/>
          <w:marTop w:val="0"/>
          <w:marBottom w:val="0"/>
          <w:divBdr>
            <w:top w:val="none" w:sz="0" w:space="0" w:color="auto"/>
            <w:left w:val="none" w:sz="0" w:space="0" w:color="auto"/>
            <w:bottom w:val="none" w:sz="0" w:space="0" w:color="auto"/>
            <w:right w:val="none" w:sz="0" w:space="0" w:color="auto"/>
          </w:divBdr>
          <w:divsChild>
            <w:div w:id="812677290">
              <w:marLeft w:val="0"/>
              <w:marRight w:val="0"/>
              <w:marTop w:val="0"/>
              <w:marBottom w:val="0"/>
              <w:divBdr>
                <w:top w:val="none" w:sz="0" w:space="0" w:color="auto"/>
                <w:left w:val="none" w:sz="0" w:space="0" w:color="auto"/>
                <w:bottom w:val="none" w:sz="0" w:space="0" w:color="auto"/>
                <w:right w:val="none" w:sz="0" w:space="0" w:color="auto"/>
              </w:divBdr>
              <w:divsChild>
                <w:div w:id="19330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98662">
      <w:bodyDiv w:val="1"/>
      <w:marLeft w:val="0"/>
      <w:marRight w:val="0"/>
      <w:marTop w:val="0"/>
      <w:marBottom w:val="0"/>
      <w:divBdr>
        <w:top w:val="none" w:sz="0" w:space="0" w:color="auto"/>
        <w:left w:val="none" w:sz="0" w:space="0" w:color="auto"/>
        <w:bottom w:val="none" w:sz="0" w:space="0" w:color="auto"/>
        <w:right w:val="none" w:sz="0" w:space="0" w:color="auto"/>
      </w:divBdr>
      <w:divsChild>
        <w:div w:id="1699504784">
          <w:marLeft w:val="0"/>
          <w:marRight w:val="0"/>
          <w:marTop w:val="48"/>
          <w:marBottom w:val="0"/>
          <w:divBdr>
            <w:top w:val="none" w:sz="0" w:space="0" w:color="auto"/>
            <w:left w:val="none" w:sz="0" w:space="0" w:color="auto"/>
            <w:bottom w:val="none" w:sz="0" w:space="0" w:color="auto"/>
            <w:right w:val="none" w:sz="0" w:space="0" w:color="auto"/>
          </w:divBdr>
        </w:div>
        <w:div w:id="451939568">
          <w:marLeft w:val="0"/>
          <w:marRight w:val="0"/>
          <w:marTop w:val="0"/>
          <w:marBottom w:val="0"/>
          <w:divBdr>
            <w:top w:val="none" w:sz="0" w:space="0" w:color="auto"/>
            <w:left w:val="none" w:sz="0" w:space="0" w:color="auto"/>
            <w:bottom w:val="none" w:sz="0" w:space="0" w:color="auto"/>
            <w:right w:val="none" w:sz="0" w:space="0" w:color="auto"/>
          </w:divBdr>
          <w:divsChild>
            <w:div w:id="1606616512">
              <w:marLeft w:val="0"/>
              <w:marRight w:val="0"/>
              <w:marTop w:val="0"/>
              <w:marBottom w:val="0"/>
              <w:divBdr>
                <w:top w:val="none" w:sz="0" w:space="0" w:color="auto"/>
                <w:left w:val="none" w:sz="0" w:space="0" w:color="auto"/>
                <w:bottom w:val="none" w:sz="0" w:space="0" w:color="auto"/>
                <w:right w:val="none" w:sz="0" w:space="0" w:color="auto"/>
              </w:divBdr>
              <w:divsChild>
                <w:div w:id="1913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oregonlaws.org/ors/182.550" TargetMode="External"/><Relationship Id="rId13" Type="http://schemas.openxmlformats.org/officeDocument/2006/relationships/hyperlink" Target="https://www.oregonlaws.org/ors/182.535"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regonlaws.org/ors/182.535" TargetMode="External"/><Relationship Id="rId12" Type="http://schemas.openxmlformats.org/officeDocument/2006/relationships/hyperlink" Target="https://www.oregonlaws.org/ors/292.49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regonlaws.org/ors/182.53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laws.org/ors/182.542" TargetMode="External"/><Relationship Id="rId5" Type="http://schemas.openxmlformats.org/officeDocument/2006/relationships/footnotes" Target="footnotes.xml"/><Relationship Id="rId15" Type="http://schemas.openxmlformats.org/officeDocument/2006/relationships/hyperlink" Target="https://www.oregonlaws.org/ors/182.535" TargetMode="External"/><Relationship Id="rId10" Type="http://schemas.openxmlformats.org/officeDocument/2006/relationships/hyperlink" Target="https://www.oregonlaws.org/ors/182.5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gonlaws.org/ors/182.535" TargetMode="External"/><Relationship Id="rId14" Type="http://schemas.openxmlformats.org/officeDocument/2006/relationships/hyperlink" Target="https://www.oregonlaws.org/ors/182.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1088</Words>
  <Characters>6207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Environmental Justice Legislation: Oregon </vt:lpstr>
      <vt:lpstr>2015 ORS 182.535¹ </vt:lpstr>
      <vt:lpstr>"Natural resource agency" defined for ORS 182.535 to 182.550</vt:lpstr>
      <vt:lpstr/>
      <vt:lpstr>2015 ORS 182.538¹ </vt:lpstr>
      <vt:lpstr>Environmental Justice Task Force</vt:lpstr>
      <vt:lpstr/>
      <vt:lpstr>2015 ORS 182.542¹ </vt:lpstr>
      <vt:lpstr>Duties of task force</vt:lpstr>
      <vt:lpstr/>
      <vt:lpstr>2015 ORS 182.545¹ </vt:lpstr>
      <vt:lpstr>Duties of natural resource agencies</vt:lpstr>
      <vt:lpstr>2015 ORS 182.550¹ </vt:lpstr>
      <vt:lpstr>Reports by natural resource agencies</vt:lpstr>
    </vt:vector>
  </TitlesOfParts>
  <Company>Oregon Judicial Department</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Collin</dc:creator>
  <cp:lastModifiedBy>Joel C Duran</cp:lastModifiedBy>
  <cp:revision>3</cp:revision>
  <cp:lastPrinted>2017-09-22T00:02:00Z</cp:lastPrinted>
  <dcterms:created xsi:type="dcterms:W3CDTF">2017-09-19T15:22:00Z</dcterms:created>
  <dcterms:modified xsi:type="dcterms:W3CDTF">2017-09-22T00:07:00Z</dcterms:modified>
</cp:coreProperties>
</file>